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53" w:rsidRPr="00284A8E" w:rsidRDefault="00281453" w:rsidP="00281453">
      <w:pPr>
        <w:jc w:val="both"/>
        <w:rPr>
          <w:rFonts w:ascii="Century Gothic" w:hAnsi="Century Gothic"/>
        </w:rPr>
      </w:pPr>
      <w:r w:rsidRPr="00284A8E">
        <w:rPr>
          <w:rFonts w:ascii="Century Gothic" w:hAnsi="Century Gothic"/>
        </w:rPr>
        <w:t>El pasado día 3 de diciembre entró en vigor el Real Decreto-Le</w:t>
      </w:r>
      <w:r w:rsidR="00CC3AA4">
        <w:rPr>
          <w:rFonts w:ascii="Century Gothic" w:hAnsi="Century Gothic"/>
        </w:rPr>
        <w:t>y 13/2010 por</w:t>
      </w:r>
      <w:r w:rsidR="0057408B">
        <w:rPr>
          <w:rFonts w:ascii="Century Gothic" w:hAnsi="Century Gothic"/>
        </w:rPr>
        <w:t xml:space="preserve"> el que se aprobaron</w:t>
      </w:r>
      <w:r w:rsidRPr="00284A8E">
        <w:rPr>
          <w:rFonts w:ascii="Century Gothic" w:hAnsi="Century Gothic"/>
        </w:rPr>
        <w:t xml:space="preserve"> una serie de medidas en el ámbito fiscal, laboral y liberalizadoras con el fin de fomentar la actividad empresar</w:t>
      </w:r>
      <w:r w:rsidR="00897B70">
        <w:rPr>
          <w:rFonts w:ascii="Century Gothic" w:hAnsi="Century Gothic"/>
        </w:rPr>
        <w:t>ial, la in</w:t>
      </w:r>
      <w:r w:rsidR="00CC3AA4">
        <w:rPr>
          <w:rFonts w:ascii="Century Gothic" w:hAnsi="Century Gothic"/>
        </w:rPr>
        <w:t>versión y el empleo, tratando</w:t>
      </w:r>
      <w:r w:rsidRPr="00284A8E">
        <w:rPr>
          <w:rFonts w:ascii="Century Gothic" w:hAnsi="Century Gothic"/>
        </w:rPr>
        <w:t xml:space="preserve"> de </w:t>
      </w:r>
      <w:r w:rsidR="00202CE0">
        <w:rPr>
          <w:rFonts w:ascii="Century Gothic" w:hAnsi="Century Gothic"/>
        </w:rPr>
        <w:t>incentivar</w:t>
      </w:r>
      <w:r w:rsidRPr="00284A8E">
        <w:rPr>
          <w:rFonts w:ascii="Century Gothic" w:hAnsi="Century Gothic"/>
        </w:rPr>
        <w:t xml:space="preserve"> con ello el crecimiento de la economía.</w:t>
      </w:r>
    </w:p>
    <w:p w:rsidR="00281453" w:rsidRPr="00284A8E" w:rsidRDefault="00281453" w:rsidP="00281453">
      <w:pPr>
        <w:jc w:val="both"/>
        <w:rPr>
          <w:rFonts w:ascii="Century Gothic" w:hAnsi="Century Gothic"/>
        </w:rPr>
      </w:pPr>
      <w:r w:rsidRPr="00284A8E">
        <w:rPr>
          <w:rFonts w:ascii="Century Gothic" w:hAnsi="Century Gothic"/>
        </w:rPr>
        <w:t>A c</w:t>
      </w:r>
      <w:r w:rsidR="002952EC" w:rsidRPr="00284A8E">
        <w:rPr>
          <w:rFonts w:ascii="Century Gothic" w:hAnsi="Century Gothic"/>
        </w:rPr>
        <w:t>ontinuación detallamos de forma</w:t>
      </w:r>
      <w:r w:rsidRPr="00284A8E">
        <w:rPr>
          <w:rFonts w:ascii="Century Gothic" w:hAnsi="Century Gothic"/>
        </w:rPr>
        <w:t xml:space="preserve"> resumida a</w:t>
      </w:r>
      <w:r w:rsidR="00CC3AA4">
        <w:rPr>
          <w:rFonts w:ascii="Century Gothic" w:hAnsi="Century Gothic"/>
        </w:rPr>
        <w:t>lguna de las medidas más destacadas</w:t>
      </w:r>
      <w:r w:rsidRPr="00284A8E">
        <w:rPr>
          <w:rFonts w:ascii="Century Gothic" w:hAnsi="Century Gothic"/>
        </w:rPr>
        <w:t>:</w:t>
      </w:r>
    </w:p>
    <w:p w:rsidR="008A54FD" w:rsidRPr="00284A8E" w:rsidRDefault="00281453" w:rsidP="008A54FD">
      <w:pPr>
        <w:pStyle w:val="NormalWeb"/>
        <w:numPr>
          <w:ilvl w:val="0"/>
          <w:numId w:val="2"/>
        </w:numPr>
        <w:rPr>
          <w:rFonts w:ascii="Century Gothic" w:hAnsi="Century Gothic"/>
          <w:b/>
          <w:sz w:val="22"/>
          <w:szCs w:val="22"/>
          <w:u w:val="single"/>
        </w:rPr>
      </w:pPr>
      <w:r w:rsidRPr="00284A8E">
        <w:rPr>
          <w:rFonts w:ascii="Century Gothic" w:hAnsi="Century Gothic"/>
          <w:b/>
          <w:sz w:val="22"/>
          <w:szCs w:val="22"/>
          <w:u w:val="single"/>
        </w:rPr>
        <w:t>Re</w:t>
      </w:r>
      <w:r w:rsidR="002952EC" w:rsidRPr="00284A8E">
        <w:rPr>
          <w:rFonts w:ascii="Century Gothic" w:hAnsi="Century Gothic"/>
          <w:b/>
          <w:sz w:val="22"/>
          <w:szCs w:val="22"/>
          <w:u w:val="single"/>
        </w:rPr>
        <w:t>ducción de cargas administrativ</w:t>
      </w:r>
      <w:r w:rsidRPr="00284A8E">
        <w:rPr>
          <w:rFonts w:ascii="Century Gothic" w:hAnsi="Century Gothic"/>
          <w:b/>
          <w:sz w:val="22"/>
          <w:szCs w:val="22"/>
          <w:u w:val="single"/>
        </w:rPr>
        <w:t xml:space="preserve">as en </w:t>
      </w:r>
      <w:r w:rsidR="002952EC" w:rsidRPr="00284A8E">
        <w:rPr>
          <w:rFonts w:ascii="Century Gothic" w:hAnsi="Century Gothic"/>
          <w:b/>
          <w:sz w:val="22"/>
          <w:szCs w:val="22"/>
          <w:u w:val="single"/>
        </w:rPr>
        <w:t>algunos</w:t>
      </w:r>
      <w:r w:rsidRPr="00284A8E">
        <w:rPr>
          <w:rFonts w:ascii="Century Gothic" w:hAnsi="Century Gothic"/>
          <w:b/>
          <w:sz w:val="22"/>
          <w:szCs w:val="22"/>
          <w:u w:val="single"/>
        </w:rPr>
        <w:t xml:space="preserve"> actos soc</w:t>
      </w:r>
      <w:r w:rsidR="002952EC" w:rsidRPr="00284A8E">
        <w:rPr>
          <w:rFonts w:ascii="Century Gothic" w:hAnsi="Century Gothic"/>
          <w:b/>
          <w:sz w:val="22"/>
          <w:szCs w:val="22"/>
          <w:u w:val="single"/>
        </w:rPr>
        <w:t>ietarios</w:t>
      </w:r>
      <w:r w:rsidRPr="00284A8E">
        <w:rPr>
          <w:rFonts w:ascii="Century Gothic" w:hAnsi="Century Gothic"/>
          <w:sz w:val="22"/>
          <w:szCs w:val="22"/>
        </w:rPr>
        <w:t>:</w:t>
      </w:r>
      <w:r w:rsidR="008A54FD" w:rsidRPr="00284A8E">
        <w:rPr>
          <w:rFonts w:ascii="Century Gothic" w:hAnsi="Century Gothic"/>
          <w:b/>
          <w:sz w:val="22"/>
          <w:szCs w:val="22"/>
          <w:u w:val="single"/>
        </w:rPr>
        <w:t xml:space="preserve"> </w:t>
      </w:r>
      <w:r w:rsidR="008A54FD" w:rsidRPr="00284A8E">
        <w:rPr>
          <w:rFonts w:ascii="Century Gothic" w:hAnsi="Century Gothic"/>
          <w:sz w:val="22"/>
          <w:szCs w:val="22"/>
        </w:rPr>
        <w:t xml:space="preserve">entre los que destacamos por ser </w:t>
      </w:r>
      <w:r w:rsidR="00E33A42">
        <w:rPr>
          <w:rFonts w:ascii="Century Gothic" w:hAnsi="Century Gothic"/>
          <w:sz w:val="22"/>
          <w:szCs w:val="22"/>
        </w:rPr>
        <w:t>los más</w:t>
      </w:r>
      <w:r w:rsidR="00002AA2" w:rsidRPr="00284A8E">
        <w:rPr>
          <w:rFonts w:ascii="Century Gothic" w:hAnsi="Century Gothic"/>
          <w:sz w:val="22"/>
          <w:szCs w:val="22"/>
        </w:rPr>
        <w:t xml:space="preserve"> </w:t>
      </w:r>
      <w:r w:rsidR="008A54FD" w:rsidRPr="00284A8E">
        <w:rPr>
          <w:rFonts w:ascii="Century Gothic" w:hAnsi="Century Gothic"/>
          <w:sz w:val="22"/>
          <w:szCs w:val="22"/>
        </w:rPr>
        <w:t xml:space="preserve">habituales en el </w:t>
      </w:r>
      <w:r w:rsidR="00323B38">
        <w:rPr>
          <w:rFonts w:ascii="Century Gothic" w:hAnsi="Century Gothic"/>
          <w:sz w:val="22"/>
          <w:szCs w:val="22"/>
        </w:rPr>
        <w:t>tráfico mercantil</w:t>
      </w:r>
      <w:r w:rsidR="00CC3AA4">
        <w:rPr>
          <w:rFonts w:ascii="Century Gothic" w:hAnsi="Century Gothic"/>
          <w:sz w:val="22"/>
          <w:szCs w:val="22"/>
        </w:rPr>
        <w:t xml:space="preserve"> la</w:t>
      </w:r>
      <w:r w:rsidR="008A54FD" w:rsidRPr="00284A8E">
        <w:rPr>
          <w:rFonts w:ascii="Century Gothic" w:hAnsi="Century Gothic"/>
          <w:sz w:val="22"/>
          <w:szCs w:val="22"/>
        </w:rPr>
        <w:t>s siguientes:</w:t>
      </w:r>
    </w:p>
    <w:p w:rsidR="00284A8E" w:rsidRPr="00A11220" w:rsidRDefault="00323B38" w:rsidP="00284A8E">
      <w:pPr>
        <w:pStyle w:val="NormalWeb"/>
        <w:numPr>
          <w:ilvl w:val="0"/>
          <w:numId w:val="9"/>
        </w:numPr>
        <w:rPr>
          <w:rFonts w:ascii="Century Gothic" w:hAnsi="Century Gothic"/>
          <w:sz w:val="22"/>
          <w:szCs w:val="22"/>
        </w:rPr>
      </w:pPr>
      <w:r>
        <w:rPr>
          <w:rFonts w:ascii="Century Gothic" w:hAnsi="Century Gothic"/>
          <w:sz w:val="22"/>
          <w:szCs w:val="22"/>
        </w:rPr>
        <w:t>Se instaura</w:t>
      </w:r>
      <w:r w:rsidR="00002AA2" w:rsidRPr="00284A8E">
        <w:rPr>
          <w:rFonts w:ascii="Century Gothic" w:hAnsi="Century Gothic"/>
          <w:sz w:val="22"/>
          <w:szCs w:val="22"/>
        </w:rPr>
        <w:t xml:space="preserve"> la página web de la </w:t>
      </w:r>
      <w:r w:rsidR="004F5700" w:rsidRPr="00284A8E">
        <w:rPr>
          <w:rFonts w:ascii="Century Gothic" w:hAnsi="Century Gothic"/>
          <w:sz w:val="22"/>
          <w:szCs w:val="22"/>
        </w:rPr>
        <w:t>sociedad como un medio para publicar</w:t>
      </w:r>
      <w:r w:rsidR="00002AA2" w:rsidRPr="00284A8E">
        <w:rPr>
          <w:rFonts w:ascii="Century Gothic" w:hAnsi="Century Gothic"/>
          <w:sz w:val="22"/>
          <w:szCs w:val="22"/>
        </w:rPr>
        <w:t xml:space="preserve"> determinados actos y modificaciones</w:t>
      </w:r>
      <w:r w:rsidR="004F5700" w:rsidRPr="00284A8E">
        <w:rPr>
          <w:rFonts w:ascii="Century Gothic" w:hAnsi="Century Gothic"/>
          <w:sz w:val="22"/>
          <w:szCs w:val="22"/>
        </w:rPr>
        <w:t xml:space="preserve"> sociales</w:t>
      </w:r>
      <w:r w:rsidR="00002AA2" w:rsidRPr="00284A8E">
        <w:rPr>
          <w:rFonts w:ascii="Century Gothic" w:hAnsi="Century Gothic"/>
          <w:sz w:val="22"/>
          <w:szCs w:val="22"/>
        </w:rPr>
        <w:t>, así, l</w:t>
      </w:r>
      <w:r w:rsidR="008A54FD" w:rsidRPr="00284A8E">
        <w:rPr>
          <w:rFonts w:ascii="Century Gothic" w:hAnsi="Century Gothic"/>
          <w:sz w:val="22"/>
          <w:szCs w:val="22"/>
        </w:rPr>
        <w:t>a junta general de una sociedad podrá</w:t>
      </w:r>
      <w:r w:rsidR="00A655CD" w:rsidRPr="00284A8E">
        <w:rPr>
          <w:rFonts w:ascii="Century Gothic" w:hAnsi="Century Gothic"/>
          <w:sz w:val="22"/>
          <w:szCs w:val="22"/>
        </w:rPr>
        <w:t xml:space="preserve"> </w:t>
      </w:r>
      <w:r w:rsidR="00002AA2" w:rsidRPr="00284A8E">
        <w:rPr>
          <w:rFonts w:ascii="Century Gothic" w:hAnsi="Century Gothic"/>
          <w:sz w:val="22"/>
          <w:szCs w:val="22"/>
        </w:rPr>
        <w:t xml:space="preserve">ser </w:t>
      </w:r>
      <w:r w:rsidR="00A655CD" w:rsidRPr="00284A8E">
        <w:rPr>
          <w:rFonts w:ascii="Century Gothic" w:hAnsi="Century Gothic"/>
          <w:sz w:val="22"/>
          <w:szCs w:val="22"/>
        </w:rPr>
        <w:t>convocada mediante anuncio publicado en el Boletín Oficial del Registro Mercantil y en la página web de la sociedad o, en el caso de que no exista, en uno de los diarios de mayor circulación en la provincia en que esté situado el domicilio s</w:t>
      </w:r>
      <w:r w:rsidR="004F5700" w:rsidRPr="00284A8E">
        <w:rPr>
          <w:rFonts w:ascii="Century Gothic" w:hAnsi="Century Gothic"/>
          <w:sz w:val="22"/>
          <w:szCs w:val="22"/>
        </w:rPr>
        <w:t>ocial.</w:t>
      </w:r>
      <w:r w:rsidR="00A11220">
        <w:rPr>
          <w:rFonts w:ascii="Century Gothic" w:hAnsi="Century Gothic"/>
          <w:sz w:val="22"/>
          <w:szCs w:val="22"/>
        </w:rPr>
        <w:t xml:space="preserve"> </w:t>
      </w:r>
      <w:r w:rsidR="00A11220" w:rsidRPr="00A11220">
        <w:rPr>
          <w:rFonts w:ascii="Century Gothic" w:hAnsi="Century Gothic"/>
          <w:sz w:val="22"/>
          <w:szCs w:val="22"/>
        </w:rPr>
        <w:t xml:space="preserve">Los estatutos de las sociedades de responsabilidad limitada podrán </w:t>
      </w:r>
      <w:r>
        <w:rPr>
          <w:rFonts w:ascii="Century Gothic" w:hAnsi="Century Gothic"/>
          <w:sz w:val="22"/>
          <w:szCs w:val="22"/>
        </w:rPr>
        <w:t>establecer</w:t>
      </w:r>
      <w:r w:rsidR="00A11220" w:rsidRPr="00A11220">
        <w:rPr>
          <w:rFonts w:ascii="Century Gothic" w:hAnsi="Century Gothic"/>
          <w:sz w:val="22"/>
          <w:szCs w:val="22"/>
        </w:rPr>
        <w:t xml:space="preserve"> que la convocatoria se realice mediante anuncio publicado en la página web de la sociedad o, en el caso de que no exista, en un determinado diario de circulación en el término municipal en que esté situado el domicilio social</w:t>
      </w:r>
      <w:r w:rsidR="00A11220">
        <w:rPr>
          <w:rFonts w:ascii="Century Gothic" w:hAnsi="Century Gothic"/>
          <w:sz w:val="22"/>
          <w:szCs w:val="22"/>
        </w:rPr>
        <w:t>.</w:t>
      </w:r>
    </w:p>
    <w:p w:rsidR="00A655CD" w:rsidRDefault="00A655CD" w:rsidP="00897B70">
      <w:pPr>
        <w:pStyle w:val="NormalWeb"/>
        <w:ind w:left="720"/>
        <w:rPr>
          <w:rFonts w:ascii="Century Gothic" w:hAnsi="Century Gothic"/>
          <w:sz w:val="22"/>
          <w:szCs w:val="22"/>
        </w:rPr>
      </w:pPr>
      <w:r w:rsidRPr="00284A8E">
        <w:rPr>
          <w:rFonts w:ascii="Century Gothic" w:hAnsi="Century Gothic"/>
          <w:sz w:val="22"/>
          <w:szCs w:val="22"/>
        </w:rPr>
        <w:t>En las sociedades anónimas el acuerdo de cambio de denominación, de domicilio, de sustitución o cualquier otra modificación del objeto social</w:t>
      </w:r>
      <w:r w:rsidR="00002AA2" w:rsidRPr="00284A8E">
        <w:rPr>
          <w:rFonts w:ascii="Century Gothic" w:hAnsi="Century Gothic"/>
          <w:sz w:val="22"/>
          <w:szCs w:val="22"/>
        </w:rPr>
        <w:t xml:space="preserve"> así como el acuerdo de reducción de capital o de su disolución</w:t>
      </w:r>
      <w:r w:rsidRPr="00284A8E">
        <w:rPr>
          <w:rFonts w:ascii="Century Gothic" w:hAnsi="Century Gothic"/>
          <w:sz w:val="22"/>
          <w:szCs w:val="22"/>
        </w:rPr>
        <w:t xml:space="preserve"> se publicarán en la página web de la sociedad o, en el caso de que no exista, se anunciarán en </w:t>
      </w:r>
      <w:r w:rsidRPr="00A11220">
        <w:rPr>
          <w:rFonts w:ascii="Century Gothic" w:hAnsi="Century Gothic"/>
          <w:sz w:val="22"/>
          <w:szCs w:val="22"/>
        </w:rPr>
        <w:t>dos</w:t>
      </w:r>
      <w:r w:rsidRPr="00284A8E">
        <w:rPr>
          <w:rFonts w:ascii="Century Gothic" w:hAnsi="Century Gothic"/>
          <w:sz w:val="22"/>
          <w:szCs w:val="22"/>
        </w:rPr>
        <w:t xml:space="preserve"> periódicos de gran circulac</w:t>
      </w:r>
      <w:r w:rsidR="00323B38">
        <w:rPr>
          <w:rFonts w:ascii="Century Gothic" w:hAnsi="Century Gothic"/>
          <w:sz w:val="22"/>
          <w:szCs w:val="22"/>
        </w:rPr>
        <w:t>ión en la provincia respectiva</w:t>
      </w:r>
      <w:r w:rsidRPr="00284A8E">
        <w:rPr>
          <w:rFonts w:ascii="Century Gothic" w:hAnsi="Century Gothic"/>
          <w:sz w:val="22"/>
          <w:szCs w:val="22"/>
        </w:rPr>
        <w:t>.</w:t>
      </w:r>
      <w:r w:rsidR="00002AA2" w:rsidRPr="00284A8E">
        <w:rPr>
          <w:rFonts w:ascii="Century Gothic" w:hAnsi="Century Gothic"/>
          <w:sz w:val="22"/>
          <w:szCs w:val="22"/>
        </w:rPr>
        <w:t xml:space="preserve"> </w:t>
      </w:r>
      <w:r w:rsidRPr="00284A8E">
        <w:rPr>
          <w:rFonts w:ascii="Century Gothic" w:hAnsi="Century Gothic"/>
          <w:sz w:val="22"/>
          <w:szCs w:val="22"/>
        </w:rPr>
        <w:t>Sin esta publicidad no podrán inscribirse en el Registro Mercantil</w:t>
      </w:r>
      <w:r w:rsidR="004F5700" w:rsidRPr="00284A8E">
        <w:rPr>
          <w:rFonts w:ascii="Century Gothic" w:hAnsi="Century Gothic"/>
          <w:sz w:val="22"/>
          <w:szCs w:val="22"/>
        </w:rPr>
        <w:t>.</w:t>
      </w:r>
    </w:p>
    <w:p w:rsidR="00A351C7" w:rsidRDefault="00A351C7" w:rsidP="00A351C7">
      <w:pPr>
        <w:pStyle w:val="NormalWeb"/>
        <w:numPr>
          <w:ilvl w:val="0"/>
          <w:numId w:val="9"/>
        </w:numPr>
        <w:rPr>
          <w:rFonts w:ascii="Century Gothic" w:hAnsi="Century Gothic"/>
          <w:sz w:val="22"/>
          <w:szCs w:val="22"/>
        </w:rPr>
      </w:pPr>
      <w:r w:rsidRPr="00284A8E">
        <w:rPr>
          <w:rFonts w:ascii="Century Gothic" w:hAnsi="Century Gothic"/>
          <w:sz w:val="22"/>
          <w:szCs w:val="22"/>
        </w:rPr>
        <w:t>Inscrita en el Registro Mercantil la escritura de constitución, la escritura en la que conste el acuerdo de modificación de estatutos o la de disolución, el registrador mercantil remitirá al Boletín Oficial del Registro Mercantil para su publicación, de oficio, de forma telemática y sin coste adicional alguno, los datos de las mismas que reglamentariamente se determinen.</w:t>
      </w:r>
    </w:p>
    <w:p w:rsidR="002952EC" w:rsidRPr="00284A8E" w:rsidRDefault="002952EC" w:rsidP="004F5700">
      <w:pPr>
        <w:pStyle w:val="Prrafodelista"/>
        <w:numPr>
          <w:ilvl w:val="0"/>
          <w:numId w:val="2"/>
        </w:numPr>
        <w:jc w:val="both"/>
        <w:rPr>
          <w:rFonts w:ascii="Century Gothic" w:eastAsia="Times New Roman" w:hAnsi="Century Gothic" w:cs="Times New Roman"/>
          <w:lang w:eastAsia="es-ES"/>
        </w:rPr>
      </w:pPr>
      <w:r w:rsidRPr="00284A8E">
        <w:rPr>
          <w:rFonts w:ascii="Century Gothic" w:eastAsia="Times New Roman" w:hAnsi="Century Gothic" w:cs="Times New Roman"/>
          <w:b/>
          <w:u w:val="single"/>
          <w:lang w:eastAsia="es-ES"/>
        </w:rPr>
        <w:t>Agilización y simplificación del proceso de constitución de sociedades de responsabilidad limitada</w:t>
      </w:r>
      <w:r w:rsidRPr="00284A8E">
        <w:rPr>
          <w:rFonts w:ascii="Century Gothic" w:eastAsia="Times New Roman" w:hAnsi="Century Gothic" w:cs="Times New Roman"/>
          <w:lang w:eastAsia="es-ES"/>
        </w:rPr>
        <w:t xml:space="preserve"> que cumpliendo determinados requisitos</w:t>
      </w:r>
      <w:r w:rsidR="00404223">
        <w:rPr>
          <w:rFonts w:ascii="Century Gothic" w:eastAsia="Times New Roman" w:hAnsi="Century Gothic" w:cs="Times New Roman"/>
          <w:lang w:eastAsia="es-ES"/>
        </w:rPr>
        <w:t xml:space="preserve"> tasados</w:t>
      </w:r>
      <w:r w:rsidRPr="00284A8E">
        <w:rPr>
          <w:rFonts w:ascii="Century Gothic" w:eastAsia="Times New Roman" w:hAnsi="Century Gothic" w:cs="Times New Roman"/>
          <w:lang w:eastAsia="es-ES"/>
        </w:rPr>
        <w:t xml:space="preserve"> podrá hacerse por vía telemática reduciéndose con ello los plazos de tramitación así como el pago de tasas y de aranceles notariales y registrales.</w:t>
      </w:r>
    </w:p>
    <w:p w:rsidR="00B350FE" w:rsidRPr="00284A8E" w:rsidRDefault="00B350FE" w:rsidP="00B350FE">
      <w:pPr>
        <w:pStyle w:val="Prrafodelista"/>
        <w:ind w:left="360"/>
        <w:jc w:val="both"/>
        <w:rPr>
          <w:rFonts w:ascii="Century Gothic" w:eastAsia="Times New Roman" w:hAnsi="Century Gothic" w:cs="Times New Roman"/>
          <w:lang w:eastAsia="es-ES"/>
        </w:rPr>
      </w:pPr>
    </w:p>
    <w:p w:rsidR="004F5700" w:rsidRPr="00284A8E" w:rsidRDefault="00323B38" w:rsidP="00B350FE">
      <w:pPr>
        <w:pStyle w:val="Prrafodelista"/>
        <w:numPr>
          <w:ilvl w:val="0"/>
          <w:numId w:val="2"/>
        </w:numPr>
        <w:jc w:val="both"/>
        <w:rPr>
          <w:rFonts w:ascii="Century Gothic" w:eastAsia="Times New Roman" w:hAnsi="Century Gothic" w:cs="Times New Roman"/>
          <w:lang w:eastAsia="es-ES"/>
        </w:rPr>
      </w:pPr>
      <w:r>
        <w:rPr>
          <w:rFonts w:ascii="Century Gothic" w:eastAsia="Times New Roman" w:hAnsi="Century Gothic" w:cs="Times New Roman"/>
          <w:b/>
          <w:u w:val="single"/>
          <w:lang w:eastAsia="es-ES"/>
        </w:rPr>
        <w:t>En el</w:t>
      </w:r>
      <w:r w:rsidR="00F37C62" w:rsidRPr="00284A8E">
        <w:rPr>
          <w:rFonts w:ascii="Century Gothic" w:eastAsia="Times New Roman" w:hAnsi="Century Gothic" w:cs="Times New Roman"/>
          <w:b/>
          <w:u w:val="single"/>
          <w:lang w:eastAsia="es-ES"/>
        </w:rPr>
        <w:t xml:space="preserve"> ámbito fiscal</w:t>
      </w:r>
      <w:r>
        <w:rPr>
          <w:rFonts w:ascii="Century Gothic" w:eastAsia="Times New Roman" w:hAnsi="Century Gothic" w:cs="Times New Roman"/>
          <w:b/>
          <w:u w:val="single"/>
          <w:lang w:eastAsia="es-ES"/>
        </w:rPr>
        <w:t xml:space="preserve"> también se introducen nuevas</w:t>
      </w:r>
      <w:r w:rsidR="001B5E05">
        <w:rPr>
          <w:rFonts w:ascii="Century Gothic" w:eastAsia="Times New Roman" w:hAnsi="Century Gothic" w:cs="Times New Roman"/>
          <w:b/>
          <w:u w:val="single"/>
          <w:lang w:eastAsia="es-ES"/>
        </w:rPr>
        <w:t xml:space="preserve"> medidas</w:t>
      </w:r>
      <w:r w:rsidRPr="00202CE0">
        <w:rPr>
          <w:rFonts w:ascii="Century Gothic" w:eastAsia="Times New Roman" w:hAnsi="Century Gothic" w:cs="Times New Roman"/>
          <w:b/>
          <w:lang w:eastAsia="es-ES"/>
        </w:rPr>
        <w:t xml:space="preserve"> </w:t>
      </w:r>
      <w:r w:rsidRPr="00202CE0">
        <w:rPr>
          <w:rFonts w:ascii="Century Gothic" w:eastAsia="Times New Roman" w:hAnsi="Century Gothic" w:cs="Times New Roman"/>
          <w:lang w:eastAsia="es-ES"/>
        </w:rPr>
        <w:t>de las que</w:t>
      </w:r>
      <w:r w:rsidR="00F37C62" w:rsidRPr="00284A8E">
        <w:rPr>
          <w:rFonts w:ascii="Century Gothic" w:eastAsia="Times New Roman" w:hAnsi="Century Gothic" w:cs="Times New Roman"/>
          <w:lang w:eastAsia="es-ES"/>
        </w:rPr>
        <w:t xml:space="preserve"> destaca</w:t>
      </w:r>
      <w:r w:rsidR="00F37E98" w:rsidRPr="00284A8E">
        <w:rPr>
          <w:rFonts w:ascii="Century Gothic" w:eastAsia="Times New Roman" w:hAnsi="Century Gothic" w:cs="Times New Roman"/>
          <w:lang w:eastAsia="es-ES"/>
        </w:rPr>
        <w:t>mos, entre otras,  la exención</w:t>
      </w:r>
      <w:r>
        <w:rPr>
          <w:rFonts w:ascii="Century Gothic" w:eastAsia="Times New Roman" w:hAnsi="Century Gothic" w:cs="Times New Roman"/>
          <w:lang w:eastAsia="es-ES"/>
        </w:rPr>
        <w:t xml:space="preserve"> del gravamen por la modalidad de operaciones societarias de aquellas operaciones </w:t>
      </w:r>
      <w:r w:rsidR="001B5E05">
        <w:rPr>
          <w:rFonts w:ascii="Century Gothic" w:eastAsia="Times New Roman" w:hAnsi="Century Gothic" w:cs="Times New Roman"/>
          <w:lang w:eastAsia="es-ES"/>
        </w:rPr>
        <w:t>dirigidas a la creación, capitalización y mantenimiento de empresas. Por tanto, estarán exentas</w:t>
      </w:r>
      <w:r w:rsidR="00F37E98" w:rsidRPr="00284A8E">
        <w:rPr>
          <w:rFonts w:ascii="Century Gothic" w:eastAsia="Times New Roman" w:hAnsi="Century Gothic" w:cs="Times New Roman"/>
          <w:lang w:eastAsia="es-ES"/>
        </w:rPr>
        <w:t xml:space="preserve"> en </w:t>
      </w:r>
      <w:r w:rsidR="00F37C62" w:rsidRPr="00284A8E">
        <w:rPr>
          <w:rFonts w:ascii="Century Gothic" w:eastAsia="Times New Roman" w:hAnsi="Century Gothic" w:cs="Times New Roman"/>
          <w:lang w:eastAsia="es-ES"/>
        </w:rPr>
        <w:t>el Impuesto sobre Transm</w:t>
      </w:r>
      <w:r w:rsidR="00F37E98" w:rsidRPr="00284A8E">
        <w:rPr>
          <w:rFonts w:ascii="Century Gothic" w:eastAsia="Times New Roman" w:hAnsi="Century Gothic" w:cs="Times New Roman"/>
          <w:lang w:eastAsia="es-ES"/>
        </w:rPr>
        <w:t>i</w:t>
      </w:r>
      <w:r w:rsidR="00F37C62" w:rsidRPr="00284A8E">
        <w:rPr>
          <w:rFonts w:ascii="Century Gothic" w:eastAsia="Times New Roman" w:hAnsi="Century Gothic" w:cs="Times New Roman"/>
          <w:lang w:eastAsia="es-ES"/>
        </w:rPr>
        <w:t xml:space="preserve">siones Patrimoniales </w:t>
      </w:r>
      <w:r w:rsidR="00F37E98" w:rsidRPr="00284A8E">
        <w:rPr>
          <w:rFonts w:ascii="Century Gothic" w:eastAsia="Times New Roman" w:hAnsi="Century Gothic" w:cs="Times New Roman"/>
          <w:lang w:eastAsia="es-ES"/>
        </w:rPr>
        <w:t>y Actos Jurídicos Documentados (únicamente en la modalida</w:t>
      </w:r>
      <w:r w:rsidR="001B5E05">
        <w:rPr>
          <w:rFonts w:ascii="Century Gothic" w:eastAsia="Times New Roman" w:hAnsi="Century Gothic" w:cs="Times New Roman"/>
          <w:lang w:eastAsia="es-ES"/>
        </w:rPr>
        <w:t>d de Operaciones Societarias)</w:t>
      </w:r>
      <w:r w:rsidR="00F37E98" w:rsidRPr="00284A8E">
        <w:rPr>
          <w:rFonts w:ascii="Century Gothic" w:eastAsia="Times New Roman" w:hAnsi="Century Gothic" w:cs="Times New Roman"/>
          <w:lang w:eastAsia="es-ES"/>
        </w:rPr>
        <w:t xml:space="preserve"> la</w:t>
      </w:r>
      <w:r w:rsidR="001B5E05">
        <w:rPr>
          <w:rFonts w:ascii="Century Gothic" w:eastAsia="Times New Roman" w:hAnsi="Century Gothic" w:cs="Times New Roman"/>
          <w:lang w:eastAsia="es-ES"/>
        </w:rPr>
        <w:t>s operaciones de</w:t>
      </w:r>
      <w:r w:rsidR="00F37E98" w:rsidRPr="00284A8E">
        <w:rPr>
          <w:rFonts w:ascii="Century Gothic" w:eastAsia="Times New Roman" w:hAnsi="Century Gothic" w:cs="Times New Roman"/>
          <w:lang w:eastAsia="es-ES"/>
        </w:rPr>
        <w:t xml:space="preserve"> constitución de sociedades, aumento de capital, aportaciones que efectúen los socios que no supongan aumento de capital y traslado a España de la sede de dirección efectiva o del domicilio social de una compañía desde fuera de la Unión Europea. </w:t>
      </w:r>
    </w:p>
    <w:p w:rsidR="009A7397" w:rsidRPr="00284A8E" w:rsidRDefault="009A7397" w:rsidP="009A7397">
      <w:pPr>
        <w:pStyle w:val="Prrafodelista"/>
        <w:ind w:left="360"/>
        <w:jc w:val="both"/>
        <w:rPr>
          <w:rFonts w:ascii="Century Gothic" w:eastAsia="Times New Roman" w:hAnsi="Century Gothic" w:cs="Times New Roman"/>
          <w:lang w:eastAsia="es-ES"/>
        </w:rPr>
      </w:pPr>
    </w:p>
    <w:p w:rsidR="009A7397" w:rsidRPr="00284A8E" w:rsidRDefault="002E1301" w:rsidP="004F5700">
      <w:pPr>
        <w:pStyle w:val="Prrafodelista"/>
        <w:numPr>
          <w:ilvl w:val="0"/>
          <w:numId w:val="2"/>
        </w:numPr>
        <w:jc w:val="both"/>
        <w:rPr>
          <w:rFonts w:ascii="Century Gothic" w:eastAsia="Times New Roman" w:hAnsi="Century Gothic" w:cs="Times New Roman"/>
          <w:lang w:eastAsia="es-ES"/>
        </w:rPr>
      </w:pPr>
      <w:r>
        <w:rPr>
          <w:rFonts w:ascii="Century Gothic" w:eastAsia="Times New Roman" w:hAnsi="Century Gothic" w:cs="Times New Roman"/>
          <w:b/>
          <w:u w:val="single"/>
          <w:lang w:eastAsia="es-ES"/>
        </w:rPr>
        <w:t>Se establece el carácter  voluntario</w:t>
      </w:r>
      <w:r w:rsidR="009A7397" w:rsidRPr="00284A8E">
        <w:rPr>
          <w:rFonts w:ascii="Century Gothic" w:eastAsia="Times New Roman" w:hAnsi="Century Gothic" w:cs="Times New Roman"/>
          <w:b/>
          <w:u w:val="single"/>
          <w:lang w:eastAsia="es-ES"/>
        </w:rPr>
        <w:t xml:space="preserve"> </w:t>
      </w:r>
      <w:r>
        <w:rPr>
          <w:rFonts w:ascii="Century Gothic" w:eastAsia="Times New Roman" w:hAnsi="Century Gothic" w:cs="Times New Roman"/>
          <w:b/>
          <w:u w:val="single"/>
          <w:lang w:eastAsia="es-ES"/>
        </w:rPr>
        <w:t xml:space="preserve">de </w:t>
      </w:r>
      <w:r w:rsidR="009A7397" w:rsidRPr="00284A8E">
        <w:rPr>
          <w:rFonts w:ascii="Century Gothic" w:eastAsia="Times New Roman" w:hAnsi="Century Gothic" w:cs="Times New Roman"/>
          <w:b/>
          <w:u w:val="single"/>
          <w:lang w:eastAsia="es-ES"/>
        </w:rPr>
        <w:t>la pertenencia a la Cámara Oficial de Comercio, Industria y Navegación</w:t>
      </w:r>
      <w:r w:rsidR="009A7397" w:rsidRPr="00284A8E">
        <w:rPr>
          <w:rFonts w:ascii="Century Gothic" w:eastAsia="Times New Roman" w:hAnsi="Century Gothic" w:cs="Times New Roman"/>
          <w:lang w:eastAsia="es-ES"/>
        </w:rPr>
        <w:t>, librando así, a las empresas del pago obligatorio del recurso cameral permanente.</w:t>
      </w:r>
      <w:r w:rsidR="009A7397" w:rsidRPr="00284A8E">
        <w:rPr>
          <w:rFonts w:ascii="Century Gothic" w:eastAsia="Times New Roman" w:hAnsi="Century Gothic" w:cs="Times New Roman"/>
          <w:b/>
          <w:u w:val="single"/>
          <w:lang w:eastAsia="es-ES"/>
        </w:rPr>
        <w:t xml:space="preserve">   </w:t>
      </w:r>
    </w:p>
    <w:p w:rsidR="00E00DE9" w:rsidRPr="009A7397" w:rsidRDefault="00E00DE9" w:rsidP="009A7397">
      <w:pPr>
        <w:jc w:val="both"/>
        <w:rPr>
          <w:rFonts w:ascii="Century Gothic" w:eastAsia="Times New Roman" w:hAnsi="Century Gothic" w:cs="Times New Roman"/>
          <w:sz w:val="24"/>
          <w:szCs w:val="24"/>
          <w:lang w:eastAsia="es-ES"/>
        </w:rPr>
      </w:pPr>
    </w:p>
    <w:p w:rsidR="004F5700" w:rsidRPr="004F5700" w:rsidRDefault="004F5700" w:rsidP="004F5700">
      <w:pPr>
        <w:pStyle w:val="Prrafodelista"/>
        <w:ind w:left="360"/>
        <w:jc w:val="both"/>
        <w:rPr>
          <w:rFonts w:ascii="Century Gothic" w:eastAsia="Times New Roman" w:hAnsi="Century Gothic" w:cs="Times New Roman"/>
          <w:sz w:val="24"/>
          <w:szCs w:val="24"/>
          <w:lang w:eastAsia="es-ES"/>
        </w:rPr>
      </w:pPr>
    </w:p>
    <w:sectPr w:rsidR="004F5700" w:rsidRPr="004F5700" w:rsidSect="00F177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E0F"/>
    <w:multiLevelType w:val="hybridMultilevel"/>
    <w:tmpl w:val="1470825A"/>
    <w:lvl w:ilvl="0" w:tplc="EAB83720">
      <w:numFmt w:val="bullet"/>
      <w:lvlText w:val="-"/>
      <w:lvlJc w:val="left"/>
      <w:pPr>
        <w:ind w:left="780" w:hanging="360"/>
      </w:pPr>
      <w:rPr>
        <w:rFonts w:ascii="Century Gothic" w:eastAsiaTheme="minorHAnsi" w:hAnsi="Century Gothic" w:cstheme="minorBid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30904295"/>
    <w:multiLevelType w:val="hybridMultilevel"/>
    <w:tmpl w:val="09A44BB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606546F"/>
    <w:multiLevelType w:val="hybridMultilevel"/>
    <w:tmpl w:val="B5F06D42"/>
    <w:lvl w:ilvl="0" w:tplc="EAB8372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C20A28"/>
    <w:multiLevelType w:val="hybridMultilevel"/>
    <w:tmpl w:val="BAE8D8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EF1626"/>
    <w:multiLevelType w:val="hybridMultilevel"/>
    <w:tmpl w:val="1480AFF4"/>
    <w:lvl w:ilvl="0" w:tplc="EAB8372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F25D67"/>
    <w:multiLevelType w:val="hybridMultilevel"/>
    <w:tmpl w:val="215C2A6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BC134E5"/>
    <w:multiLevelType w:val="hybridMultilevel"/>
    <w:tmpl w:val="E346B6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31674A"/>
    <w:multiLevelType w:val="hybridMultilevel"/>
    <w:tmpl w:val="90A47EE0"/>
    <w:lvl w:ilvl="0" w:tplc="FF54F4A8">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AF91840"/>
    <w:multiLevelType w:val="hybridMultilevel"/>
    <w:tmpl w:val="EC8088E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1453"/>
    <w:rsid w:val="00002AA2"/>
    <w:rsid w:val="001B5E05"/>
    <w:rsid w:val="00202CE0"/>
    <w:rsid w:val="00281453"/>
    <w:rsid w:val="00284A8E"/>
    <w:rsid w:val="002952EC"/>
    <w:rsid w:val="002E1301"/>
    <w:rsid w:val="00323B38"/>
    <w:rsid w:val="00327702"/>
    <w:rsid w:val="00404223"/>
    <w:rsid w:val="004F5700"/>
    <w:rsid w:val="0057408B"/>
    <w:rsid w:val="00863823"/>
    <w:rsid w:val="0089028B"/>
    <w:rsid w:val="00897B70"/>
    <w:rsid w:val="008A54FD"/>
    <w:rsid w:val="009A7397"/>
    <w:rsid w:val="00A11220"/>
    <w:rsid w:val="00A351C7"/>
    <w:rsid w:val="00A655CD"/>
    <w:rsid w:val="00AB6D9C"/>
    <w:rsid w:val="00AF42D6"/>
    <w:rsid w:val="00B350FE"/>
    <w:rsid w:val="00C334F8"/>
    <w:rsid w:val="00CC3AA4"/>
    <w:rsid w:val="00E00DE9"/>
    <w:rsid w:val="00E33A42"/>
    <w:rsid w:val="00F17774"/>
    <w:rsid w:val="00F37C62"/>
    <w:rsid w:val="00F37E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453"/>
    <w:pPr>
      <w:ind w:left="720"/>
      <w:contextualSpacing/>
    </w:pPr>
  </w:style>
  <w:style w:type="character" w:styleId="CitaHTML">
    <w:name w:val="HTML Cite"/>
    <w:basedOn w:val="Fuentedeprrafopredeter"/>
    <w:uiPriority w:val="99"/>
    <w:semiHidden/>
    <w:unhideWhenUsed/>
    <w:rsid w:val="00281453"/>
    <w:rPr>
      <w:rFonts w:ascii="Times New Roman" w:hAnsi="Times New Roman" w:cs="Times New Roman" w:hint="default"/>
      <w:i/>
      <w:iCs/>
      <w:sz w:val="18"/>
      <w:szCs w:val="18"/>
    </w:rPr>
  </w:style>
  <w:style w:type="paragraph" w:styleId="NormalWeb">
    <w:name w:val="Normal (Web)"/>
    <w:basedOn w:val="Normal"/>
    <w:uiPriority w:val="99"/>
    <w:semiHidden/>
    <w:unhideWhenUsed/>
    <w:rsid w:val="00281453"/>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webSettings.xml><?xml version="1.0" encoding="utf-8"?>
<w:webSettings xmlns:r="http://schemas.openxmlformats.org/officeDocument/2006/relationships" xmlns:w="http://schemas.openxmlformats.org/wordprocessingml/2006/main">
  <w:divs>
    <w:div w:id="429352179">
      <w:bodyDiv w:val="1"/>
      <w:marLeft w:val="180"/>
      <w:marRight w:val="2100"/>
      <w:marTop w:val="3255"/>
      <w:marBottom w:val="525"/>
      <w:divBdr>
        <w:top w:val="none" w:sz="0" w:space="0" w:color="auto"/>
        <w:left w:val="none" w:sz="0" w:space="0" w:color="auto"/>
        <w:bottom w:val="none" w:sz="0" w:space="0" w:color="auto"/>
        <w:right w:val="none" w:sz="0" w:space="0" w:color="auto"/>
      </w:divBdr>
    </w:div>
    <w:div w:id="1082875784">
      <w:bodyDiv w:val="1"/>
      <w:marLeft w:val="180"/>
      <w:marRight w:val="2100"/>
      <w:marTop w:val="3255"/>
      <w:marBottom w:val="525"/>
      <w:divBdr>
        <w:top w:val="none" w:sz="0" w:space="0" w:color="auto"/>
        <w:left w:val="none" w:sz="0" w:space="0" w:color="auto"/>
        <w:bottom w:val="none" w:sz="0" w:space="0" w:color="auto"/>
        <w:right w:val="none" w:sz="0" w:space="0" w:color="auto"/>
      </w:divBdr>
    </w:div>
    <w:div w:id="1282998578">
      <w:bodyDiv w:val="1"/>
      <w:marLeft w:val="180"/>
      <w:marRight w:val="2100"/>
      <w:marTop w:val="3255"/>
      <w:marBottom w:val="525"/>
      <w:divBdr>
        <w:top w:val="none" w:sz="0" w:space="0" w:color="auto"/>
        <w:left w:val="none" w:sz="0" w:space="0" w:color="auto"/>
        <w:bottom w:val="none" w:sz="0" w:space="0" w:color="auto"/>
        <w:right w:val="none" w:sz="0" w:space="0" w:color="auto"/>
      </w:divBdr>
    </w:div>
    <w:div w:id="1320228189">
      <w:bodyDiv w:val="1"/>
      <w:marLeft w:val="180"/>
      <w:marRight w:val="2100"/>
      <w:marTop w:val="3255"/>
      <w:marBottom w:val="525"/>
      <w:divBdr>
        <w:top w:val="none" w:sz="0" w:space="0" w:color="auto"/>
        <w:left w:val="none" w:sz="0" w:space="0" w:color="auto"/>
        <w:bottom w:val="none" w:sz="0" w:space="0" w:color="auto"/>
        <w:right w:val="none" w:sz="0" w:space="0" w:color="auto"/>
      </w:divBdr>
    </w:div>
    <w:div w:id="1639921873">
      <w:bodyDiv w:val="1"/>
      <w:marLeft w:val="180"/>
      <w:marRight w:val="2100"/>
      <w:marTop w:val="3255"/>
      <w:marBottom w:val="525"/>
      <w:divBdr>
        <w:top w:val="none" w:sz="0" w:space="0" w:color="auto"/>
        <w:left w:val="none" w:sz="0" w:space="0" w:color="auto"/>
        <w:bottom w:val="none" w:sz="0" w:space="0" w:color="auto"/>
        <w:right w:val="none" w:sz="0" w:space="0" w:color="auto"/>
      </w:divBdr>
    </w:div>
    <w:div w:id="1791510238">
      <w:bodyDiv w:val="1"/>
      <w:marLeft w:val="180"/>
      <w:marRight w:val="2100"/>
      <w:marTop w:val="3255"/>
      <w:marBottom w:val="5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5CA8-1363-45EE-973F-A11A3B5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Andrea Peiró</cp:lastModifiedBy>
  <cp:revision>2</cp:revision>
  <cp:lastPrinted>2011-03-30T12:22:00Z</cp:lastPrinted>
  <dcterms:created xsi:type="dcterms:W3CDTF">2011-04-05T17:20:00Z</dcterms:created>
  <dcterms:modified xsi:type="dcterms:W3CDTF">2011-04-05T17:20:00Z</dcterms:modified>
</cp:coreProperties>
</file>